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932F" w14:textId="77777777" w:rsidR="00F44BB1" w:rsidRDefault="00F44BB1" w:rsidP="00742EFF">
      <w:pPr>
        <w:jc w:val="center"/>
        <w:rPr>
          <w:b/>
          <w:bCs/>
        </w:rPr>
      </w:pPr>
    </w:p>
    <w:p w14:paraId="138FBC33" w14:textId="5271B20E" w:rsidR="00742EFF" w:rsidRPr="00F13296" w:rsidRDefault="00742EFF" w:rsidP="00742EFF">
      <w:pPr>
        <w:jc w:val="center"/>
        <w:rPr>
          <w:b/>
          <w:bCs/>
        </w:rPr>
      </w:pPr>
      <w:r w:rsidRPr="00F13296">
        <w:rPr>
          <w:b/>
          <w:bCs/>
        </w:rPr>
        <w:t xml:space="preserve">DIRECCION DE DESARROLLO AGROPECUARIO </w:t>
      </w:r>
    </w:p>
    <w:p w14:paraId="23C683BC" w14:textId="1D55BA34" w:rsidR="00742EFF" w:rsidRPr="00F13296" w:rsidRDefault="00742EFF" w:rsidP="00742EFF">
      <w:pPr>
        <w:jc w:val="center"/>
        <w:rPr>
          <w:b/>
          <w:bCs/>
        </w:rPr>
      </w:pPr>
      <w:r w:rsidRPr="00F13296">
        <w:rPr>
          <w:b/>
          <w:bCs/>
        </w:rPr>
        <w:t>DECRETO No. 482-LXVI</w:t>
      </w:r>
    </w:p>
    <w:p w14:paraId="70FCE814" w14:textId="2971F34E" w:rsidR="000F7516" w:rsidRPr="00F13296" w:rsidRDefault="00742EFF" w:rsidP="00742EFF">
      <w:pPr>
        <w:jc w:val="center"/>
        <w:rPr>
          <w:b/>
          <w:bCs/>
        </w:rPr>
      </w:pPr>
      <w:r w:rsidRPr="00F13296">
        <w:rPr>
          <w:b/>
          <w:bCs/>
        </w:rPr>
        <w:t>LEY DE INGRESOS PARA EL MUNICIPIO DE HUICHAPAN, HIDALGO, CORRESPONDIENTE AL EJERCICIO FISCAL 2026</w:t>
      </w:r>
    </w:p>
    <w:p w14:paraId="16B9229D" w14:textId="77777777" w:rsidR="00742EFF" w:rsidRDefault="00742EFF" w:rsidP="00742EFF"/>
    <w:p w14:paraId="3D831E6E" w14:textId="183BBCE1" w:rsidR="00742EFF" w:rsidRDefault="00742EFF" w:rsidP="00F13296">
      <w:pPr>
        <w:jc w:val="both"/>
      </w:pPr>
      <w:r>
        <w:t>Articulo 13.- Los Derechos por uso de rastro, guarda y matanza de ganado</w:t>
      </w:r>
      <w:r w:rsidR="004E4CF8">
        <w:t xml:space="preserve">, transporte e inspección sanitaria, revisión de fierros para marcar ganado y magueyes, se </w:t>
      </w:r>
      <w:r w:rsidR="00F13296">
        <w:t>determinarán</w:t>
      </w:r>
      <w:r w:rsidR="004E4CF8">
        <w:t xml:space="preserve"> según lo dispuesto por los artículos 78 al 81 de la Ley de Hacienda para los Municipios del Estado de Hidalgo, debiéndose pagar conforme a las siguientes cuotas: </w:t>
      </w:r>
    </w:p>
    <w:p w14:paraId="595FB2F0" w14:textId="77777777" w:rsidR="004E4CF8" w:rsidRDefault="004E4CF8" w:rsidP="00742EFF"/>
    <w:tbl>
      <w:tblPr>
        <w:tblStyle w:val="Tablaconcuadrcula"/>
        <w:tblW w:w="10490" w:type="dxa"/>
        <w:tblInd w:w="-572" w:type="dxa"/>
        <w:tblLook w:val="04A0" w:firstRow="1" w:lastRow="0" w:firstColumn="1" w:lastColumn="0" w:noHBand="0" w:noVBand="1"/>
      </w:tblPr>
      <w:tblGrid>
        <w:gridCol w:w="7088"/>
        <w:gridCol w:w="3402"/>
      </w:tblGrid>
      <w:tr w:rsidR="004E4CF8" w14:paraId="562BB367" w14:textId="77777777" w:rsidTr="00F13296">
        <w:tc>
          <w:tcPr>
            <w:tcW w:w="7088" w:type="dxa"/>
          </w:tcPr>
          <w:p w14:paraId="6BB27EFB" w14:textId="77777777" w:rsidR="004E4CF8" w:rsidRDefault="004E4CF8" w:rsidP="004E4CF8">
            <w:pPr>
              <w:jc w:val="center"/>
            </w:pPr>
          </w:p>
        </w:tc>
        <w:tc>
          <w:tcPr>
            <w:tcW w:w="3402" w:type="dxa"/>
          </w:tcPr>
          <w:p w14:paraId="39BE5766" w14:textId="785DE5C5" w:rsidR="004E4CF8" w:rsidRPr="00F13296" w:rsidRDefault="004E4CF8" w:rsidP="004E4CF8">
            <w:pPr>
              <w:jc w:val="center"/>
              <w:rPr>
                <w:b/>
                <w:bCs/>
              </w:rPr>
            </w:pPr>
            <w:r w:rsidRPr="00F13296">
              <w:rPr>
                <w:b/>
                <w:bCs/>
              </w:rPr>
              <w:t>Cuota fija $</w:t>
            </w:r>
          </w:p>
        </w:tc>
      </w:tr>
      <w:tr w:rsidR="004E4CF8" w14:paraId="2365FCB0" w14:textId="77777777" w:rsidTr="00F13296">
        <w:tc>
          <w:tcPr>
            <w:tcW w:w="7088" w:type="dxa"/>
          </w:tcPr>
          <w:p w14:paraId="658E5DF8" w14:textId="262D5E16" w:rsidR="004E4CF8" w:rsidRPr="00F13296" w:rsidRDefault="004E4CF8" w:rsidP="004E4CF8">
            <w:pPr>
              <w:jc w:val="center"/>
              <w:rPr>
                <w:b/>
                <w:bCs/>
              </w:rPr>
            </w:pPr>
            <w:r w:rsidRPr="00F13296">
              <w:rPr>
                <w:b/>
                <w:bCs/>
              </w:rPr>
              <w:t xml:space="preserve">Fierros para marcar ganado y magueyes </w:t>
            </w:r>
          </w:p>
        </w:tc>
        <w:tc>
          <w:tcPr>
            <w:tcW w:w="3402" w:type="dxa"/>
          </w:tcPr>
          <w:p w14:paraId="21B7CDFC" w14:textId="77777777" w:rsidR="004E4CF8" w:rsidRDefault="004E4CF8" w:rsidP="004E4CF8">
            <w:pPr>
              <w:jc w:val="center"/>
            </w:pPr>
          </w:p>
        </w:tc>
      </w:tr>
      <w:tr w:rsidR="004E4CF8" w14:paraId="75028DFB" w14:textId="77777777" w:rsidTr="00F13296">
        <w:tc>
          <w:tcPr>
            <w:tcW w:w="7088" w:type="dxa"/>
          </w:tcPr>
          <w:p w14:paraId="1A9BB200" w14:textId="77FB1B3B" w:rsidR="004E4CF8" w:rsidRPr="00F13296" w:rsidRDefault="004E4CF8" w:rsidP="004E4CF8">
            <w:pPr>
              <w:jc w:val="center"/>
              <w:rPr>
                <w:sz w:val="20"/>
                <w:szCs w:val="20"/>
              </w:rPr>
            </w:pPr>
            <w:r w:rsidRPr="00F13296">
              <w:rPr>
                <w:sz w:val="20"/>
                <w:szCs w:val="20"/>
              </w:rPr>
              <w:t xml:space="preserve">Derechos por el registro de fierros para marcar ganado y magueyes </w:t>
            </w:r>
          </w:p>
        </w:tc>
        <w:tc>
          <w:tcPr>
            <w:tcW w:w="3402" w:type="dxa"/>
          </w:tcPr>
          <w:p w14:paraId="6208571B" w14:textId="4B1ECA72" w:rsidR="004E4CF8" w:rsidRDefault="00F13296" w:rsidP="004E4CF8">
            <w:pPr>
              <w:jc w:val="center"/>
            </w:pPr>
            <w:r>
              <w:t>178.40</w:t>
            </w:r>
          </w:p>
        </w:tc>
      </w:tr>
      <w:tr w:rsidR="004E4CF8" w14:paraId="2F9D3303" w14:textId="77777777" w:rsidTr="00F13296">
        <w:tc>
          <w:tcPr>
            <w:tcW w:w="7088" w:type="dxa"/>
          </w:tcPr>
          <w:p w14:paraId="7E0DDAF4" w14:textId="61A167FF" w:rsidR="004E4CF8" w:rsidRPr="00F13296" w:rsidRDefault="004E4CF8" w:rsidP="004E4CF8">
            <w:pPr>
              <w:jc w:val="center"/>
              <w:rPr>
                <w:sz w:val="20"/>
                <w:szCs w:val="20"/>
              </w:rPr>
            </w:pPr>
            <w:r w:rsidRPr="00F13296">
              <w:rPr>
                <w:sz w:val="20"/>
                <w:szCs w:val="20"/>
              </w:rPr>
              <w:t xml:space="preserve">Derechos por refrendo del registro o revisión de fierros para marcar ganado y magueyes </w:t>
            </w:r>
          </w:p>
        </w:tc>
        <w:tc>
          <w:tcPr>
            <w:tcW w:w="3402" w:type="dxa"/>
          </w:tcPr>
          <w:p w14:paraId="7495BDBF" w14:textId="21D7EB27" w:rsidR="004E4CF8" w:rsidRDefault="00F13296" w:rsidP="004E4CF8">
            <w:pPr>
              <w:jc w:val="center"/>
            </w:pPr>
            <w:r>
              <w:t>178.40</w:t>
            </w:r>
          </w:p>
        </w:tc>
      </w:tr>
    </w:tbl>
    <w:p w14:paraId="5F927CB7" w14:textId="77777777" w:rsidR="004E4CF8" w:rsidRDefault="004E4CF8" w:rsidP="004E4CF8">
      <w:pPr>
        <w:jc w:val="center"/>
      </w:pPr>
    </w:p>
    <w:p w14:paraId="07502A43" w14:textId="2E5F2C89" w:rsidR="00742EFF" w:rsidRDefault="00F13296" w:rsidP="00F13296">
      <w:pPr>
        <w:jc w:val="both"/>
      </w:pPr>
      <w:r>
        <w:t xml:space="preserve">Articulo 17.- Los derechos por servicios de certificaciones, legalizaciones y expedición de copias certificadas se determinarán conforme a los dispuesto por los artículos 100 al 102 de la Ley de Hacienda para los Municipios debiéndose pagar conforme las siguientes cuotas: </w:t>
      </w:r>
    </w:p>
    <w:p w14:paraId="662E8867" w14:textId="77777777" w:rsidR="00F13296" w:rsidRDefault="00F13296" w:rsidP="00F13296">
      <w:pPr>
        <w:jc w:val="both"/>
      </w:pPr>
    </w:p>
    <w:tbl>
      <w:tblPr>
        <w:tblStyle w:val="Tablaconcuadrcula"/>
        <w:tblW w:w="10490" w:type="dxa"/>
        <w:tblInd w:w="-572" w:type="dxa"/>
        <w:tblLook w:val="04A0" w:firstRow="1" w:lastRow="0" w:firstColumn="1" w:lastColumn="0" w:noHBand="0" w:noVBand="1"/>
      </w:tblPr>
      <w:tblGrid>
        <w:gridCol w:w="7088"/>
        <w:gridCol w:w="3402"/>
      </w:tblGrid>
      <w:tr w:rsidR="00F13296" w14:paraId="13A386D2" w14:textId="77777777" w:rsidTr="003337E6">
        <w:tc>
          <w:tcPr>
            <w:tcW w:w="7088" w:type="dxa"/>
          </w:tcPr>
          <w:p w14:paraId="7A8D07CF" w14:textId="77777777" w:rsidR="00F13296" w:rsidRDefault="00F13296" w:rsidP="003337E6">
            <w:pPr>
              <w:jc w:val="center"/>
            </w:pPr>
          </w:p>
        </w:tc>
        <w:tc>
          <w:tcPr>
            <w:tcW w:w="3402" w:type="dxa"/>
          </w:tcPr>
          <w:p w14:paraId="0F719666" w14:textId="77777777" w:rsidR="00F13296" w:rsidRPr="00F13296" w:rsidRDefault="00F13296" w:rsidP="003337E6">
            <w:pPr>
              <w:jc w:val="center"/>
              <w:rPr>
                <w:b/>
                <w:bCs/>
              </w:rPr>
            </w:pPr>
            <w:r w:rsidRPr="00F13296">
              <w:rPr>
                <w:b/>
                <w:bCs/>
              </w:rPr>
              <w:t>Cuota fija $</w:t>
            </w:r>
          </w:p>
        </w:tc>
      </w:tr>
      <w:tr w:rsidR="00F13296" w14:paraId="6B144182" w14:textId="77777777" w:rsidTr="003337E6">
        <w:tc>
          <w:tcPr>
            <w:tcW w:w="7088" w:type="dxa"/>
          </w:tcPr>
          <w:p w14:paraId="0377EFDF" w14:textId="4E76256D" w:rsidR="00F13296" w:rsidRPr="00F13296" w:rsidRDefault="00F44BB1" w:rsidP="003337E6">
            <w:pPr>
              <w:jc w:val="center"/>
              <w:rPr>
                <w:b/>
                <w:bCs/>
              </w:rPr>
            </w:pPr>
            <w:r>
              <w:rPr>
                <w:b/>
                <w:bCs/>
              </w:rPr>
              <w:t xml:space="preserve">Certificación de documentos de actos o hechos jurídicos o civiles: </w:t>
            </w:r>
          </w:p>
        </w:tc>
        <w:tc>
          <w:tcPr>
            <w:tcW w:w="3402" w:type="dxa"/>
          </w:tcPr>
          <w:p w14:paraId="2B39FFBA" w14:textId="77777777" w:rsidR="00F13296" w:rsidRDefault="00F13296" w:rsidP="003337E6">
            <w:pPr>
              <w:jc w:val="center"/>
            </w:pPr>
          </w:p>
        </w:tc>
      </w:tr>
      <w:tr w:rsidR="00F13296" w14:paraId="4C4E78BB" w14:textId="77777777" w:rsidTr="003337E6">
        <w:tc>
          <w:tcPr>
            <w:tcW w:w="7088" w:type="dxa"/>
          </w:tcPr>
          <w:p w14:paraId="03220840" w14:textId="70782340" w:rsidR="00F13296" w:rsidRPr="00F13296" w:rsidRDefault="00F44BB1" w:rsidP="003337E6">
            <w:pPr>
              <w:jc w:val="center"/>
              <w:rPr>
                <w:sz w:val="20"/>
                <w:szCs w:val="20"/>
              </w:rPr>
            </w:pPr>
            <w:r>
              <w:rPr>
                <w:sz w:val="20"/>
                <w:szCs w:val="20"/>
              </w:rPr>
              <w:t>Expedición de constancias en general de inexistencia de registro de nacimiento, de inexistencia de registro de matrimonio, de inexistencia de registro de defunción, de no registro de hijos, de registro de hijos o constancia fetal.</w:t>
            </w:r>
          </w:p>
        </w:tc>
        <w:tc>
          <w:tcPr>
            <w:tcW w:w="3402" w:type="dxa"/>
          </w:tcPr>
          <w:p w14:paraId="4BA321A4" w14:textId="6BEEFB1C" w:rsidR="00F13296" w:rsidRDefault="00F44BB1" w:rsidP="003337E6">
            <w:pPr>
              <w:jc w:val="center"/>
            </w:pPr>
            <w:r>
              <w:t>73.00</w:t>
            </w:r>
          </w:p>
        </w:tc>
      </w:tr>
      <w:tr w:rsidR="00F13296" w14:paraId="056ABAEE" w14:textId="77777777" w:rsidTr="003337E6">
        <w:tc>
          <w:tcPr>
            <w:tcW w:w="7088" w:type="dxa"/>
          </w:tcPr>
          <w:p w14:paraId="797A7AD7" w14:textId="014D5D1D" w:rsidR="00F13296" w:rsidRPr="00F13296" w:rsidRDefault="00F44BB1" w:rsidP="003337E6">
            <w:pPr>
              <w:jc w:val="center"/>
              <w:rPr>
                <w:sz w:val="20"/>
                <w:szCs w:val="20"/>
              </w:rPr>
            </w:pPr>
            <w:r>
              <w:rPr>
                <w:sz w:val="20"/>
                <w:szCs w:val="20"/>
              </w:rPr>
              <w:t xml:space="preserve">Constancia de trasmisión de ganado </w:t>
            </w:r>
          </w:p>
        </w:tc>
        <w:tc>
          <w:tcPr>
            <w:tcW w:w="3402" w:type="dxa"/>
          </w:tcPr>
          <w:p w14:paraId="6AC7934C" w14:textId="63A88135" w:rsidR="00F13296" w:rsidRDefault="00F44BB1" w:rsidP="003337E6">
            <w:pPr>
              <w:jc w:val="center"/>
            </w:pPr>
            <w:r>
              <w:t>17.60</w:t>
            </w:r>
          </w:p>
        </w:tc>
      </w:tr>
    </w:tbl>
    <w:p w14:paraId="6D2D5F05" w14:textId="77777777" w:rsidR="00F13296" w:rsidRDefault="00F13296" w:rsidP="00F13296"/>
    <w:sectPr w:rsidR="00F132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FF"/>
    <w:rsid w:val="00087AF9"/>
    <w:rsid w:val="000F7516"/>
    <w:rsid w:val="004E4CF8"/>
    <w:rsid w:val="00742EFF"/>
    <w:rsid w:val="00A768BB"/>
    <w:rsid w:val="00F13296"/>
    <w:rsid w:val="00F44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0BA6"/>
  <w15:chartTrackingRefBased/>
  <w15:docId w15:val="{B072B9E3-FDD8-4FC6-8FDB-AC09E5AB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2E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2E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2E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2E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2E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2E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2E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2E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2E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2E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2E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2E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2E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2E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2E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2EFF"/>
    <w:rPr>
      <w:rFonts w:eastAsiaTheme="majorEastAsia" w:cstheme="majorBidi"/>
      <w:color w:val="272727" w:themeColor="text1" w:themeTint="D8"/>
    </w:rPr>
  </w:style>
  <w:style w:type="paragraph" w:styleId="Ttulo">
    <w:name w:val="Title"/>
    <w:basedOn w:val="Normal"/>
    <w:next w:val="Normal"/>
    <w:link w:val="TtuloCar"/>
    <w:uiPriority w:val="10"/>
    <w:qFormat/>
    <w:rsid w:val="00742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2E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2E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2E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2EFF"/>
    <w:pPr>
      <w:spacing w:before="160"/>
      <w:jc w:val="center"/>
    </w:pPr>
    <w:rPr>
      <w:i/>
      <w:iCs/>
      <w:color w:val="404040" w:themeColor="text1" w:themeTint="BF"/>
    </w:rPr>
  </w:style>
  <w:style w:type="character" w:customStyle="1" w:styleId="CitaCar">
    <w:name w:val="Cita Car"/>
    <w:basedOn w:val="Fuentedeprrafopredeter"/>
    <w:link w:val="Cita"/>
    <w:uiPriority w:val="29"/>
    <w:rsid w:val="00742EFF"/>
    <w:rPr>
      <w:i/>
      <w:iCs/>
      <w:color w:val="404040" w:themeColor="text1" w:themeTint="BF"/>
    </w:rPr>
  </w:style>
  <w:style w:type="paragraph" w:styleId="Prrafodelista">
    <w:name w:val="List Paragraph"/>
    <w:basedOn w:val="Normal"/>
    <w:uiPriority w:val="34"/>
    <w:qFormat/>
    <w:rsid w:val="00742EFF"/>
    <w:pPr>
      <w:ind w:left="720"/>
      <w:contextualSpacing/>
    </w:pPr>
  </w:style>
  <w:style w:type="character" w:styleId="nfasisintenso">
    <w:name w:val="Intense Emphasis"/>
    <w:basedOn w:val="Fuentedeprrafopredeter"/>
    <w:uiPriority w:val="21"/>
    <w:qFormat/>
    <w:rsid w:val="00742EFF"/>
    <w:rPr>
      <w:i/>
      <w:iCs/>
      <w:color w:val="0F4761" w:themeColor="accent1" w:themeShade="BF"/>
    </w:rPr>
  </w:style>
  <w:style w:type="paragraph" w:styleId="Citadestacada">
    <w:name w:val="Intense Quote"/>
    <w:basedOn w:val="Normal"/>
    <w:next w:val="Normal"/>
    <w:link w:val="CitadestacadaCar"/>
    <w:uiPriority w:val="30"/>
    <w:qFormat/>
    <w:rsid w:val="0074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2EFF"/>
    <w:rPr>
      <w:i/>
      <w:iCs/>
      <w:color w:val="0F4761" w:themeColor="accent1" w:themeShade="BF"/>
    </w:rPr>
  </w:style>
  <w:style w:type="character" w:styleId="Referenciaintensa">
    <w:name w:val="Intense Reference"/>
    <w:basedOn w:val="Fuentedeprrafopredeter"/>
    <w:uiPriority w:val="32"/>
    <w:qFormat/>
    <w:rsid w:val="00742EFF"/>
    <w:rPr>
      <w:b/>
      <w:bCs/>
      <w:smallCaps/>
      <w:color w:val="0F4761" w:themeColor="accent1" w:themeShade="BF"/>
      <w:spacing w:val="5"/>
    </w:rPr>
  </w:style>
  <w:style w:type="table" w:styleId="Tablaconcuadrcula">
    <w:name w:val="Table Grid"/>
    <w:basedOn w:val="Tablanormal"/>
    <w:uiPriority w:val="39"/>
    <w:rsid w:val="004E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210</Words>
  <Characters>1159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de  Desarrollo Agropecuario</dc:creator>
  <cp:keywords/>
  <dc:description/>
  <cp:lastModifiedBy>Secretaria de  Desarrollo Agropecuario</cp:lastModifiedBy>
  <cp:revision>1</cp:revision>
  <dcterms:created xsi:type="dcterms:W3CDTF">2026-03-31T17:41:00Z</dcterms:created>
  <dcterms:modified xsi:type="dcterms:W3CDTF">2026-03-31T18:23:00Z</dcterms:modified>
</cp:coreProperties>
</file>